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3D" w:rsidRPr="002640CB" w:rsidRDefault="0090653D" w:rsidP="0090653D">
      <w:pPr>
        <w:widowControl w:val="0"/>
        <w:tabs>
          <w:tab w:val="left" w:pos="567"/>
        </w:tabs>
        <w:jc w:val="both"/>
        <w:rPr>
          <w:bCs/>
          <w:spacing w:val="-3"/>
          <w:sz w:val="22"/>
          <w:szCs w:val="22"/>
        </w:rPr>
      </w:pPr>
      <w:bookmarkStart w:id="0" w:name="_GoBack"/>
      <w:bookmarkEnd w:id="0"/>
    </w:p>
    <w:p w:rsidR="0090653D" w:rsidRPr="002640CB" w:rsidRDefault="0090653D" w:rsidP="0090653D">
      <w:pPr>
        <w:widowControl w:val="0"/>
        <w:numPr>
          <w:ilvl w:val="0"/>
          <w:numId w:val="1"/>
        </w:numPr>
        <w:tabs>
          <w:tab w:val="clear" w:pos="720"/>
          <w:tab w:val="left" w:pos="567"/>
        </w:tabs>
        <w:ind w:left="567" w:hanging="567"/>
        <w:jc w:val="both"/>
        <w:rPr>
          <w:rFonts w:ascii="Arial" w:hAnsi="Arial" w:cs="Arial"/>
          <w:bCs/>
          <w:spacing w:val="-3"/>
          <w:sz w:val="22"/>
          <w:szCs w:val="22"/>
        </w:rPr>
      </w:pPr>
      <w:r w:rsidRPr="002640CB">
        <w:rPr>
          <w:rFonts w:ascii="Arial" w:hAnsi="Arial" w:cs="Arial"/>
          <w:sz w:val="22"/>
          <w:szCs w:val="22"/>
        </w:rPr>
        <w:t xml:space="preserve">Each state and territory legislates to give cooperatives corporate body status distinct from companies.  With the exception of </w:t>
      </w:r>
      <w:smartTag w:uri="urn:schemas-microsoft-com:office:smarttags" w:element="State">
        <w:smartTag w:uri="urn:schemas-microsoft-com:office:smarttags" w:element="place">
          <w:r w:rsidRPr="002640CB">
            <w:rPr>
              <w:rFonts w:ascii="Arial" w:hAnsi="Arial" w:cs="Arial"/>
              <w:sz w:val="22"/>
              <w:szCs w:val="22"/>
            </w:rPr>
            <w:t>Western Australia</w:t>
          </w:r>
        </w:smartTag>
      </w:smartTag>
      <w:r w:rsidRPr="002640CB">
        <w:rPr>
          <w:rFonts w:ascii="Arial" w:hAnsi="Arial" w:cs="Arial"/>
          <w:sz w:val="22"/>
          <w:szCs w:val="22"/>
        </w:rPr>
        <w:t xml:space="preserve">, each jurisdiction’s legislation contains core consistent provisions which cover fundamental matters such as the cooperative principles, membership, and rules.  In </w:t>
      </w:r>
      <w:smartTag w:uri="urn:schemas-microsoft-com:office:smarttags" w:element="State">
        <w:smartTag w:uri="urn:schemas-microsoft-com:office:smarttags" w:element="place">
          <w:r w:rsidRPr="002640CB">
            <w:rPr>
              <w:rFonts w:ascii="Arial" w:hAnsi="Arial" w:cs="Arial"/>
              <w:sz w:val="22"/>
              <w:szCs w:val="22"/>
            </w:rPr>
            <w:t>Queensland</w:t>
          </w:r>
        </w:smartTag>
      </w:smartTag>
      <w:r w:rsidRPr="002640CB">
        <w:rPr>
          <w:rFonts w:ascii="Arial" w:hAnsi="Arial" w:cs="Arial"/>
          <w:sz w:val="22"/>
          <w:szCs w:val="22"/>
        </w:rPr>
        <w:t xml:space="preserve">, the governing legislation is the </w:t>
      </w:r>
      <w:r w:rsidRPr="002640CB">
        <w:rPr>
          <w:rFonts w:ascii="Arial" w:hAnsi="Arial" w:cs="Arial"/>
          <w:i/>
          <w:sz w:val="22"/>
          <w:szCs w:val="22"/>
        </w:rPr>
        <w:t>Cooperatives Act 1997</w:t>
      </w:r>
      <w:r w:rsidRPr="002640CB">
        <w:rPr>
          <w:rFonts w:ascii="Arial" w:hAnsi="Arial" w:cs="Arial"/>
          <w:sz w:val="22"/>
          <w:szCs w:val="22"/>
        </w:rPr>
        <w:t>.</w:t>
      </w:r>
    </w:p>
    <w:p w:rsidR="0090653D" w:rsidRPr="002640CB" w:rsidRDefault="0090653D" w:rsidP="0090653D">
      <w:pPr>
        <w:widowControl w:val="0"/>
        <w:tabs>
          <w:tab w:val="left" w:pos="567"/>
        </w:tabs>
        <w:jc w:val="both"/>
        <w:rPr>
          <w:rFonts w:ascii="Arial" w:hAnsi="Arial" w:cs="Arial"/>
          <w:bCs/>
          <w:spacing w:val="-3"/>
          <w:sz w:val="22"/>
          <w:szCs w:val="22"/>
        </w:rPr>
      </w:pPr>
    </w:p>
    <w:p w:rsidR="0090653D" w:rsidRPr="002640CB" w:rsidRDefault="0090653D" w:rsidP="0090653D">
      <w:pPr>
        <w:widowControl w:val="0"/>
        <w:numPr>
          <w:ilvl w:val="0"/>
          <w:numId w:val="1"/>
        </w:numPr>
        <w:tabs>
          <w:tab w:val="clear" w:pos="720"/>
          <w:tab w:val="left" w:pos="567"/>
        </w:tabs>
        <w:ind w:left="567" w:hanging="567"/>
        <w:jc w:val="both"/>
        <w:rPr>
          <w:rFonts w:ascii="Arial" w:hAnsi="Arial" w:cs="Arial"/>
          <w:bCs/>
          <w:spacing w:val="-3"/>
          <w:sz w:val="22"/>
          <w:szCs w:val="22"/>
        </w:rPr>
      </w:pPr>
      <w:r w:rsidRPr="002640CB">
        <w:rPr>
          <w:rFonts w:ascii="Arial" w:hAnsi="Arial" w:cs="Arial"/>
          <w:sz w:val="22"/>
          <w:szCs w:val="22"/>
        </w:rPr>
        <w:t xml:space="preserve">True consistency under the scheme has not been achieved due to the requirement for each jurisdiction to amend its legislation based on their parliamentary timetables.   </w:t>
      </w:r>
    </w:p>
    <w:p w:rsidR="0090653D" w:rsidRPr="002640CB" w:rsidRDefault="0090653D" w:rsidP="0090653D">
      <w:pPr>
        <w:widowControl w:val="0"/>
        <w:tabs>
          <w:tab w:val="left" w:pos="567"/>
        </w:tabs>
        <w:jc w:val="both"/>
        <w:rPr>
          <w:rFonts w:ascii="Arial" w:hAnsi="Arial" w:cs="Arial"/>
          <w:sz w:val="22"/>
          <w:szCs w:val="22"/>
        </w:rPr>
      </w:pPr>
    </w:p>
    <w:p w:rsidR="0090653D" w:rsidRPr="002640CB" w:rsidRDefault="0090653D" w:rsidP="0090653D">
      <w:pPr>
        <w:widowControl w:val="0"/>
        <w:numPr>
          <w:ilvl w:val="0"/>
          <w:numId w:val="1"/>
        </w:numPr>
        <w:tabs>
          <w:tab w:val="clear" w:pos="720"/>
          <w:tab w:val="left" w:pos="567"/>
        </w:tabs>
        <w:ind w:left="567" w:hanging="567"/>
        <w:jc w:val="both"/>
        <w:rPr>
          <w:rFonts w:ascii="Arial" w:hAnsi="Arial" w:cs="Arial"/>
          <w:bCs/>
          <w:spacing w:val="-3"/>
          <w:sz w:val="22"/>
          <w:szCs w:val="22"/>
        </w:rPr>
      </w:pPr>
      <w:r w:rsidRPr="002640CB">
        <w:rPr>
          <w:rFonts w:ascii="Arial" w:hAnsi="Arial" w:cs="Arial"/>
          <w:sz w:val="22"/>
          <w:szCs w:val="22"/>
        </w:rPr>
        <w:t>The Ministerial Council on Consumer Affairs has been working to improve the operation of the scheme and has established a national working party to consider</w:t>
      </w:r>
      <w:r w:rsidR="00EF57F0" w:rsidRPr="002640CB">
        <w:rPr>
          <w:rFonts w:ascii="Arial" w:hAnsi="Arial" w:cs="Arial"/>
          <w:sz w:val="22"/>
          <w:szCs w:val="22"/>
        </w:rPr>
        <w:t xml:space="preserve"> a template scheme for cooperatives legislation</w:t>
      </w:r>
      <w:r w:rsidRPr="002640CB">
        <w:rPr>
          <w:rFonts w:ascii="Arial" w:hAnsi="Arial" w:cs="Arial"/>
          <w:sz w:val="22"/>
          <w:szCs w:val="22"/>
        </w:rPr>
        <w:t xml:space="preserve">.  The working party consists of representatives from all states and territories. </w:t>
      </w:r>
    </w:p>
    <w:p w:rsidR="0090653D" w:rsidRPr="002640CB" w:rsidRDefault="0090653D" w:rsidP="0090653D">
      <w:pPr>
        <w:widowControl w:val="0"/>
        <w:tabs>
          <w:tab w:val="left" w:pos="567"/>
        </w:tabs>
        <w:jc w:val="both"/>
        <w:rPr>
          <w:rFonts w:ascii="Arial" w:hAnsi="Arial" w:cs="Arial"/>
          <w:sz w:val="22"/>
          <w:szCs w:val="22"/>
        </w:rPr>
      </w:pPr>
    </w:p>
    <w:p w:rsidR="0090653D" w:rsidRPr="002640CB" w:rsidRDefault="0090653D" w:rsidP="0090653D">
      <w:pPr>
        <w:widowControl w:val="0"/>
        <w:numPr>
          <w:ilvl w:val="0"/>
          <w:numId w:val="1"/>
        </w:numPr>
        <w:tabs>
          <w:tab w:val="clear" w:pos="720"/>
          <w:tab w:val="left" w:pos="567"/>
        </w:tabs>
        <w:ind w:left="567" w:hanging="567"/>
        <w:jc w:val="both"/>
        <w:rPr>
          <w:rFonts w:ascii="Arial" w:hAnsi="Arial" w:cs="Arial"/>
          <w:bCs/>
          <w:spacing w:val="-3"/>
          <w:sz w:val="22"/>
          <w:szCs w:val="22"/>
        </w:rPr>
      </w:pPr>
      <w:r w:rsidRPr="002640CB">
        <w:rPr>
          <w:rFonts w:ascii="Arial" w:hAnsi="Arial" w:cs="Arial"/>
          <w:sz w:val="22"/>
          <w:szCs w:val="22"/>
        </w:rPr>
        <w:t xml:space="preserve">Through consultation with the Co-operative Council of Australia (the peak representative body), the working party has determined that in addition to legislative consistency in the new Cooperatives National Law, key areas for reform are fundraising, reduced reporting requirements for small cooperatives, and inter-jurisdictional trading.  </w:t>
      </w:r>
    </w:p>
    <w:p w:rsidR="00C06CF6" w:rsidRPr="002640CB" w:rsidRDefault="00C06CF6" w:rsidP="00C06CF6">
      <w:pPr>
        <w:widowControl w:val="0"/>
        <w:tabs>
          <w:tab w:val="left" w:pos="567"/>
        </w:tabs>
        <w:jc w:val="both"/>
        <w:rPr>
          <w:rFonts w:ascii="Arial" w:hAnsi="Arial" w:cs="Arial"/>
          <w:bCs/>
          <w:spacing w:val="-3"/>
          <w:sz w:val="22"/>
          <w:szCs w:val="22"/>
        </w:rPr>
      </w:pPr>
    </w:p>
    <w:p w:rsidR="0010247B" w:rsidRPr="002640CB" w:rsidRDefault="00DD720C" w:rsidP="00B84142">
      <w:pPr>
        <w:widowControl w:val="0"/>
        <w:numPr>
          <w:ilvl w:val="0"/>
          <w:numId w:val="1"/>
        </w:numPr>
        <w:tabs>
          <w:tab w:val="clear" w:pos="720"/>
          <w:tab w:val="left" w:pos="567"/>
        </w:tabs>
        <w:ind w:left="567" w:hanging="567"/>
        <w:jc w:val="both"/>
        <w:rPr>
          <w:rFonts w:ascii="Arial" w:hAnsi="Arial" w:cs="Arial"/>
          <w:bCs/>
          <w:spacing w:val="-3"/>
          <w:sz w:val="22"/>
          <w:szCs w:val="22"/>
        </w:rPr>
      </w:pPr>
      <w:r w:rsidRPr="002640CB">
        <w:rPr>
          <w:rFonts w:ascii="Arial" w:hAnsi="Arial" w:cs="Arial"/>
          <w:bCs/>
          <w:spacing w:val="-3"/>
          <w:sz w:val="22"/>
          <w:szCs w:val="22"/>
        </w:rPr>
        <w:t xml:space="preserve">The Cooperatives National Law is underpinned by the </w:t>
      </w:r>
      <w:r w:rsidRPr="002640CB">
        <w:rPr>
          <w:rFonts w:ascii="Arial" w:hAnsi="Arial" w:cs="Arial"/>
          <w:sz w:val="22"/>
          <w:szCs w:val="22"/>
        </w:rPr>
        <w:t xml:space="preserve">Australian Uniform Cooperative Laws Agreement. </w:t>
      </w:r>
      <w:r w:rsidR="0010247B" w:rsidRPr="002640CB">
        <w:rPr>
          <w:rFonts w:ascii="Arial" w:hAnsi="Arial" w:cs="Arial"/>
          <w:bCs/>
          <w:spacing w:val="-3"/>
          <w:sz w:val="22"/>
          <w:szCs w:val="22"/>
        </w:rPr>
        <w:t xml:space="preserve"> </w:t>
      </w:r>
      <w:smartTag w:uri="urn:schemas-microsoft-com:office:smarttags" w:element="State">
        <w:smartTag w:uri="urn:schemas-microsoft-com:office:smarttags" w:element="place">
          <w:r w:rsidR="0010247B" w:rsidRPr="002640CB">
            <w:rPr>
              <w:rFonts w:ascii="Arial" w:hAnsi="Arial" w:cs="Arial"/>
              <w:sz w:val="22"/>
              <w:szCs w:val="22"/>
            </w:rPr>
            <w:t>New South Wales</w:t>
          </w:r>
        </w:smartTag>
      </w:smartTag>
      <w:r w:rsidR="0010247B" w:rsidRPr="002640CB">
        <w:rPr>
          <w:rFonts w:ascii="Arial" w:hAnsi="Arial" w:cs="Arial"/>
          <w:sz w:val="22"/>
          <w:szCs w:val="22"/>
        </w:rPr>
        <w:t xml:space="preserve"> will hold the template legislation and the Agreement </w:t>
      </w:r>
      <w:r w:rsidR="00EF57F0" w:rsidRPr="002640CB">
        <w:rPr>
          <w:rFonts w:ascii="Arial" w:hAnsi="Arial" w:cs="Arial"/>
          <w:sz w:val="22"/>
          <w:szCs w:val="22"/>
        </w:rPr>
        <w:t xml:space="preserve">allows a participating jurisdiction to adopt the Cooperatives National Law through application of laws legislation or pass alternative consistent legislation.  </w:t>
      </w:r>
    </w:p>
    <w:p w:rsidR="00973B90" w:rsidRPr="002640CB" w:rsidRDefault="00973B90" w:rsidP="00973B90">
      <w:pPr>
        <w:widowControl w:val="0"/>
        <w:tabs>
          <w:tab w:val="left" w:pos="567"/>
        </w:tabs>
        <w:jc w:val="both"/>
        <w:rPr>
          <w:rFonts w:ascii="Arial" w:hAnsi="Arial" w:cs="Arial"/>
          <w:bCs/>
          <w:spacing w:val="-3"/>
          <w:sz w:val="22"/>
          <w:szCs w:val="22"/>
          <w:u w:val="single"/>
        </w:rPr>
      </w:pPr>
    </w:p>
    <w:p w:rsidR="00C06CF6" w:rsidRPr="002640CB" w:rsidRDefault="00C06CF6" w:rsidP="0010247B">
      <w:pPr>
        <w:widowControl w:val="0"/>
        <w:numPr>
          <w:ilvl w:val="0"/>
          <w:numId w:val="1"/>
        </w:numPr>
        <w:tabs>
          <w:tab w:val="clear" w:pos="720"/>
          <w:tab w:val="left" w:pos="567"/>
        </w:tabs>
        <w:ind w:left="567" w:hanging="567"/>
        <w:jc w:val="both"/>
        <w:rPr>
          <w:rFonts w:ascii="Arial" w:hAnsi="Arial" w:cs="Arial"/>
          <w:bCs/>
          <w:spacing w:val="-3"/>
          <w:sz w:val="22"/>
          <w:szCs w:val="22"/>
        </w:rPr>
      </w:pPr>
      <w:r w:rsidRPr="002640CB">
        <w:rPr>
          <w:rFonts w:ascii="Arial" w:hAnsi="Arial" w:cs="Arial"/>
          <w:bCs/>
          <w:spacing w:val="-3"/>
          <w:sz w:val="22"/>
          <w:szCs w:val="22"/>
          <w:u w:val="single"/>
        </w:rPr>
        <w:t>Cabinet approved</w:t>
      </w:r>
      <w:r w:rsidRPr="002640CB">
        <w:rPr>
          <w:rFonts w:ascii="Arial" w:hAnsi="Arial" w:cs="Arial"/>
          <w:bCs/>
          <w:spacing w:val="-3"/>
          <w:sz w:val="22"/>
          <w:szCs w:val="22"/>
        </w:rPr>
        <w:t xml:space="preserve"> </w:t>
      </w:r>
      <w:smartTag w:uri="urn:schemas-microsoft-com:office:smarttags" w:element="State">
        <w:smartTag w:uri="urn:schemas-microsoft-com:office:smarttags" w:element="place">
          <w:r w:rsidR="00973B90" w:rsidRPr="002640CB">
            <w:rPr>
              <w:rFonts w:ascii="Arial" w:hAnsi="Arial" w:cs="Arial"/>
              <w:bCs/>
              <w:spacing w:val="-3"/>
              <w:sz w:val="22"/>
              <w:szCs w:val="22"/>
            </w:rPr>
            <w:t>Queensland</w:t>
          </w:r>
        </w:smartTag>
      </w:smartTag>
      <w:r w:rsidR="00973B90" w:rsidRPr="002640CB">
        <w:rPr>
          <w:rFonts w:ascii="Arial" w:hAnsi="Arial" w:cs="Arial"/>
          <w:bCs/>
          <w:spacing w:val="-3"/>
          <w:sz w:val="22"/>
          <w:szCs w:val="22"/>
        </w:rPr>
        <w:t xml:space="preserve"> entering into </w:t>
      </w:r>
      <w:r w:rsidR="00973B90" w:rsidRPr="002640CB">
        <w:rPr>
          <w:rFonts w:ascii="Arial" w:hAnsi="Arial" w:cs="Arial"/>
          <w:sz w:val="22"/>
          <w:szCs w:val="22"/>
        </w:rPr>
        <w:t xml:space="preserve">the </w:t>
      </w:r>
      <w:r w:rsidR="00973B90" w:rsidRPr="002640CB">
        <w:rPr>
          <w:rFonts w:ascii="Arial" w:hAnsi="Arial" w:cs="Arial"/>
          <w:i/>
          <w:sz w:val="22"/>
          <w:szCs w:val="22"/>
        </w:rPr>
        <w:t>Australian Uniform Cooperative Laws Agreement</w:t>
      </w:r>
      <w:r w:rsidR="00973B90" w:rsidRPr="002640CB">
        <w:rPr>
          <w:rFonts w:ascii="Arial" w:hAnsi="Arial" w:cs="Arial"/>
          <w:sz w:val="22"/>
          <w:szCs w:val="22"/>
        </w:rPr>
        <w:t xml:space="preserve"> and approving the Cooperatives National Law and accompanying Regulatory Impact Statement be released for national public consultation.</w:t>
      </w:r>
    </w:p>
    <w:p w:rsidR="002640CB" w:rsidRPr="002640CB" w:rsidRDefault="002640CB" w:rsidP="002640CB">
      <w:pPr>
        <w:widowControl w:val="0"/>
        <w:tabs>
          <w:tab w:val="left" w:pos="567"/>
        </w:tabs>
        <w:jc w:val="both"/>
        <w:rPr>
          <w:rFonts w:ascii="Arial" w:hAnsi="Arial" w:cs="Arial"/>
          <w:bCs/>
          <w:spacing w:val="-3"/>
          <w:sz w:val="22"/>
          <w:szCs w:val="22"/>
        </w:rPr>
      </w:pPr>
    </w:p>
    <w:p w:rsidR="002640CB" w:rsidRPr="002640CB" w:rsidRDefault="002640CB" w:rsidP="00B31F64">
      <w:pPr>
        <w:widowControl w:val="0"/>
        <w:numPr>
          <w:ilvl w:val="0"/>
          <w:numId w:val="1"/>
        </w:numPr>
        <w:tabs>
          <w:tab w:val="clear" w:pos="720"/>
          <w:tab w:val="left" w:pos="567"/>
        </w:tabs>
        <w:spacing w:before="120"/>
        <w:ind w:left="567" w:hanging="567"/>
        <w:jc w:val="both"/>
        <w:rPr>
          <w:rFonts w:ascii="Arial" w:hAnsi="Arial" w:cs="Arial"/>
          <w:bCs/>
          <w:spacing w:val="-3"/>
          <w:sz w:val="22"/>
          <w:szCs w:val="22"/>
        </w:rPr>
      </w:pPr>
      <w:r w:rsidRPr="002640CB">
        <w:rPr>
          <w:rFonts w:ascii="Arial" w:hAnsi="Arial" w:cs="Arial"/>
          <w:bCs/>
          <w:i/>
          <w:spacing w:val="-3"/>
          <w:sz w:val="22"/>
          <w:szCs w:val="22"/>
          <w:u w:val="single"/>
        </w:rPr>
        <w:t>Attachments</w:t>
      </w:r>
    </w:p>
    <w:p w:rsidR="002640CB" w:rsidRPr="00B31F64" w:rsidRDefault="002640CB" w:rsidP="00B31F64">
      <w:pPr>
        <w:widowControl w:val="0"/>
        <w:numPr>
          <w:ilvl w:val="0"/>
          <w:numId w:val="5"/>
        </w:numPr>
        <w:tabs>
          <w:tab w:val="left" w:pos="567"/>
        </w:tabs>
        <w:spacing w:before="120"/>
        <w:jc w:val="both"/>
        <w:rPr>
          <w:rFonts w:ascii="Arial" w:hAnsi="Arial" w:cs="Arial"/>
          <w:bCs/>
          <w:spacing w:val="-3"/>
          <w:sz w:val="22"/>
          <w:szCs w:val="22"/>
        </w:rPr>
      </w:pPr>
      <w:r w:rsidRPr="002640CB">
        <w:rPr>
          <w:rFonts w:ascii="Arial" w:hAnsi="Arial" w:cs="Arial"/>
          <w:bCs/>
          <w:spacing w:val="-3"/>
          <w:sz w:val="22"/>
          <w:szCs w:val="22"/>
        </w:rPr>
        <w:t>Nil</w:t>
      </w:r>
    </w:p>
    <w:sectPr w:rsidR="002640CB" w:rsidRPr="00B31F6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64" w:rsidRDefault="00B31F64" w:rsidP="00B31F64">
      <w:r>
        <w:separator/>
      </w:r>
    </w:p>
  </w:endnote>
  <w:endnote w:type="continuationSeparator" w:id="0">
    <w:p w:rsidR="00B31F64" w:rsidRDefault="00B31F64" w:rsidP="00B3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64" w:rsidRDefault="00B31F64" w:rsidP="00B31F64">
      <w:r>
        <w:separator/>
      </w:r>
    </w:p>
  </w:footnote>
  <w:footnote w:type="continuationSeparator" w:id="0">
    <w:p w:rsidR="00B31F64" w:rsidRDefault="00B31F64" w:rsidP="00B31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64" w:rsidRDefault="00B31F64" w:rsidP="00B31F64"/>
  <w:p w:rsidR="00B31F64" w:rsidRDefault="00B31F64" w:rsidP="00B31F64">
    <w:pPr>
      <w:pStyle w:val="Header"/>
      <w:ind w:firstLine="2880"/>
      <w:rPr>
        <w:rFonts w:ascii="Arial" w:hAnsi="Arial" w:cs="Arial"/>
        <w:b/>
        <w:sz w:val="22"/>
        <w:szCs w:val="22"/>
        <w:u w:val="single"/>
      </w:rPr>
    </w:pPr>
  </w:p>
  <w:p w:rsidR="00B31F64" w:rsidRPr="002640CB" w:rsidRDefault="00B31F64" w:rsidP="00B31F64">
    <w:pPr>
      <w:pStyle w:val="Header"/>
      <w:ind w:firstLine="2880"/>
      <w:rPr>
        <w:rFonts w:ascii="Arial" w:hAnsi="Arial" w:cs="Arial"/>
        <w:b/>
        <w:sz w:val="22"/>
        <w:szCs w:val="22"/>
        <w:u w:val="single"/>
      </w:rPr>
    </w:pPr>
    <w:r>
      <w:rPr>
        <w:rFonts w:ascii="Arial" w:hAnsi="Arial" w:cs="Arial"/>
        <w:noProof/>
        <w:sz w:val="22"/>
        <w:szCs w:val="22"/>
      </w:rPr>
      <w:drawing>
        <wp:anchor distT="0" distB="0" distL="114300" distR="114300" simplePos="0" relativeHeight="251659264" behindDoc="0" locked="0" layoutInCell="1" allowOverlap="1" wp14:anchorId="6113CC78" wp14:editId="4F97FB9F">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Pr="002640CB">
      <w:rPr>
        <w:rFonts w:ascii="Arial" w:hAnsi="Arial" w:cs="Arial"/>
        <w:b/>
        <w:sz w:val="22"/>
        <w:szCs w:val="22"/>
        <w:u w:val="single"/>
      </w:rPr>
      <w:t>Cabinet – November 2009</w:t>
    </w:r>
  </w:p>
  <w:p w:rsidR="00B31F64" w:rsidRPr="002640CB" w:rsidRDefault="00B31F64" w:rsidP="00B31F64">
    <w:pPr>
      <w:pStyle w:val="Header"/>
      <w:ind w:firstLine="2880"/>
      <w:rPr>
        <w:rFonts w:ascii="Arial" w:hAnsi="Arial" w:cs="Arial"/>
        <w:b/>
        <w:sz w:val="22"/>
        <w:szCs w:val="22"/>
        <w:u w:val="single"/>
      </w:rPr>
    </w:pPr>
  </w:p>
  <w:p w:rsidR="00B31F64" w:rsidRPr="002640CB" w:rsidRDefault="00B31F64" w:rsidP="00B31F64">
    <w:pPr>
      <w:jc w:val="both"/>
      <w:rPr>
        <w:rFonts w:ascii="Arial" w:hAnsi="Arial" w:cs="Arial"/>
        <w:b/>
        <w:sz w:val="22"/>
        <w:szCs w:val="22"/>
        <w:u w:val="single"/>
      </w:rPr>
    </w:pPr>
    <w:r w:rsidRPr="002640CB">
      <w:rPr>
        <w:rFonts w:ascii="Arial" w:hAnsi="Arial" w:cs="Arial"/>
        <w:b/>
        <w:i/>
        <w:sz w:val="22"/>
        <w:szCs w:val="22"/>
        <w:u w:val="single"/>
      </w:rPr>
      <w:t>Australian Uniform Cooperative Laws Agreement</w:t>
    </w:r>
    <w:r w:rsidRPr="002640CB">
      <w:rPr>
        <w:rFonts w:ascii="Arial" w:hAnsi="Arial" w:cs="Arial"/>
        <w:b/>
        <w:sz w:val="22"/>
        <w:szCs w:val="22"/>
        <w:u w:val="single"/>
      </w:rPr>
      <w:t xml:space="preserve"> and proposed Cooperatives National Law</w:t>
    </w:r>
  </w:p>
  <w:p w:rsidR="00B31F64" w:rsidRPr="002640CB" w:rsidRDefault="00B31F64" w:rsidP="00B31F64">
    <w:pPr>
      <w:pStyle w:val="Header"/>
      <w:spacing w:before="120"/>
      <w:rPr>
        <w:rFonts w:ascii="Arial" w:hAnsi="Arial" w:cs="Arial"/>
        <w:b/>
        <w:sz w:val="22"/>
        <w:szCs w:val="22"/>
        <w:u w:val="single"/>
      </w:rPr>
    </w:pPr>
    <w:r w:rsidRPr="002640CB">
      <w:rPr>
        <w:rFonts w:ascii="Arial" w:hAnsi="Arial" w:cs="Arial"/>
        <w:b/>
        <w:sz w:val="22"/>
        <w:szCs w:val="22"/>
        <w:u w:val="single"/>
      </w:rPr>
      <w:t>Minister for Tourism and Fair Trading</w:t>
    </w:r>
  </w:p>
  <w:p w:rsidR="00B31F64" w:rsidRDefault="00B31F64" w:rsidP="00B31F64">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E34"/>
    <w:multiLevelType w:val="multilevel"/>
    <w:tmpl w:val="F5984F5E"/>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835"/>
        </w:tabs>
        <w:ind w:left="2835" w:hanging="907"/>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1" w15:restartNumberingAfterBreak="0">
    <w:nsid w:val="1B195685"/>
    <w:multiLevelType w:val="hybridMultilevel"/>
    <w:tmpl w:val="EC762A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8E0D86"/>
    <w:multiLevelType w:val="hybridMultilevel"/>
    <w:tmpl w:val="2DB03732"/>
    <w:lvl w:ilvl="0" w:tplc="A6DEFB1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F6"/>
    <w:rsid w:val="00066387"/>
    <w:rsid w:val="0010247B"/>
    <w:rsid w:val="00243094"/>
    <w:rsid w:val="002640CB"/>
    <w:rsid w:val="002B04BA"/>
    <w:rsid w:val="003521FD"/>
    <w:rsid w:val="003B2439"/>
    <w:rsid w:val="0047497E"/>
    <w:rsid w:val="004B7DE3"/>
    <w:rsid w:val="004F4410"/>
    <w:rsid w:val="005D7FF3"/>
    <w:rsid w:val="005F053C"/>
    <w:rsid w:val="00604364"/>
    <w:rsid w:val="00661528"/>
    <w:rsid w:val="006B431C"/>
    <w:rsid w:val="006C5BFB"/>
    <w:rsid w:val="007401B2"/>
    <w:rsid w:val="008126B2"/>
    <w:rsid w:val="0090653D"/>
    <w:rsid w:val="00953269"/>
    <w:rsid w:val="00971B17"/>
    <w:rsid w:val="00973B90"/>
    <w:rsid w:val="00AB343D"/>
    <w:rsid w:val="00AE4E99"/>
    <w:rsid w:val="00B24E6E"/>
    <w:rsid w:val="00B31F64"/>
    <w:rsid w:val="00B76778"/>
    <w:rsid w:val="00B84142"/>
    <w:rsid w:val="00BD56EA"/>
    <w:rsid w:val="00BE423B"/>
    <w:rsid w:val="00C05E10"/>
    <w:rsid w:val="00C06CF6"/>
    <w:rsid w:val="00C42188"/>
    <w:rsid w:val="00DD720C"/>
    <w:rsid w:val="00E5300D"/>
    <w:rsid w:val="00E566DD"/>
    <w:rsid w:val="00E829FD"/>
    <w:rsid w:val="00E82EAA"/>
    <w:rsid w:val="00EE4B22"/>
    <w:rsid w:val="00EF4E42"/>
    <w:rsid w:val="00EF57F0"/>
    <w:rsid w:val="00FA4ECD"/>
    <w:rsid w:val="00FE0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6CF6"/>
    <w:pPr>
      <w:tabs>
        <w:tab w:val="center" w:pos="4153"/>
        <w:tab w:val="right" w:pos="8306"/>
      </w:tabs>
    </w:pPr>
    <w:rPr>
      <w:szCs w:val="20"/>
    </w:rPr>
  </w:style>
  <w:style w:type="paragraph" w:customStyle="1" w:styleId="Cabinet2text">
    <w:name w:val="Cabinet 2 text"/>
    <w:basedOn w:val="Normal"/>
    <w:rsid w:val="0090653D"/>
    <w:pPr>
      <w:numPr>
        <w:ilvl w:val="1"/>
        <w:numId w:val="4"/>
      </w:numPr>
      <w:spacing w:before="120"/>
      <w:jc w:val="both"/>
    </w:pPr>
    <w:rPr>
      <w:szCs w:val="20"/>
    </w:rPr>
  </w:style>
  <w:style w:type="paragraph" w:customStyle="1" w:styleId="Cabinet3text">
    <w:name w:val="Cabinet 3 text"/>
    <w:basedOn w:val="Cabinet2text"/>
    <w:rsid w:val="0090653D"/>
    <w:pPr>
      <w:numPr>
        <w:ilvl w:val="2"/>
      </w:numPr>
    </w:pPr>
  </w:style>
  <w:style w:type="paragraph" w:customStyle="1" w:styleId="Cabinet4text">
    <w:name w:val="Cabinet 4 text"/>
    <w:basedOn w:val="Cabinet2text"/>
    <w:rsid w:val="0090653D"/>
    <w:pPr>
      <w:numPr>
        <w:ilvl w:val="3"/>
      </w:numPr>
    </w:pPr>
  </w:style>
  <w:style w:type="numbering" w:customStyle="1" w:styleId="cabinet">
    <w:name w:val="cabinet"/>
    <w:rsid w:val="0090653D"/>
    <w:pPr>
      <w:numPr>
        <w:numId w:val="4"/>
      </w:numPr>
    </w:pPr>
  </w:style>
  <w:style w:type="paragraph" w:customStyle="1" w:styleId="StyleJustified">
    <w:name w:val="Style Justified"/>
    <w:basedOn w:val="Normal"/>
    <w:rsid w:val="0090653D"/>
    <w:pPr>
      <w:numPr>
        <w:numId w:val="4"/>
      </w:numPr>
      <w:spacing w:before="240"/>
      <w:jc w:val="both"/>
    </w:pPr>
    <w:rPr>
      <w:szCs w:val="20"/>
    </w:rPr>
  </w:style>
  <w:style w:type="paragraph" w:customStyle="1" w:styleId="cabinet5text">
    <w:name w:val="cabinet 5 text"/>
    <w:basedOn w:val="Cabinet2text"/>
    <w:rsid w:val="0090653D"/>
    <w:pPr>
      <w:numPr>
        <w:ilvl w:val="4"/>
      </w:numPr>
    </w:pPr>
  </w:style>
  <w:style w:type="paragraph" w:styleId="BalloonText">
    <w:name w:val="Balloon Text"/>
    <w:basedOn w:val="Normal"/>
    <w:semiHidden/>
    <w:rsid w:val="00B84142"/>
    <w:rPr>
      <w:rFonts w:ascii="Tahoma" w:hAnsi="Tahoma" w:cs="Tahoma"/>
      <w:sz w:val="16"/>
      <w:szCs w:val="16"/>
    </w:rPr>
  </w:style>
  <w:style w:type="paragraph" w:styleId="Footer">
    <w:name w:val="footer"/>
    <w:basedOn w:val="Normal"/>
    <w:link w:val="FooterChar"/>
    <w:rsid w:val="00B31F64"/>
    <w:pPr>
      <w:tabs>
        <w:tab w:val="center" w:pos="4513"/>
        <w:tab w:val="right" w:pos="9026"/>
      </w:tabs>
    </w:pPr>
  </w:style>
  <w:style w:type="character" w:customStyle="1" w:styleId="FooterChar">
    <w:name w:val="Footer Char"/>
    <w:basedOn w:val="DefaultParagraphFont"/>
    <w:link w:val="Footer"/>
    <w:rsid w:val="00B31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1515</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ATTACHMENT 6</vt:lpstr>
    </vt:vector>
  </TitlesOfParts>
  <Manager/>
  <Company/>
  <LinksUpToDate>false</LinksUpToDate>
  <CharactersWithSpaces>1761</CharactersWithSpaces>
  <SharedDoc>false</SharedDoc>
  <HyperlinkBase>https://www.cabinet.qld.gov.au/documents/2009/Nov/Aus Uniform Cooperative Laws/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dc:title>
  <dc:subject/>
  <dc:creator/>
  <cp:keywords>Cooperative,Law,Agreement</cp:keywords>
  <dc:description/>
  <cp:lastModifiedBy/>
  <cp:revision>2</cp:revision>
  <cp:lastPrinted>2010-02-04T23:46:00Z</cp:lastPrinted>
  <dcterms:created xsi:type="dcterms:W3CDTF">2017-10-24T22:02:00Z</dcterms:created>
  <dcterms:modified xsi:type="dcterms:W3CDTF">2018-03-06T00:58:00Z</dcterms:modified>
  <cp:category>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-1538650365</vt:i4>
  </property>
  <property fmtid="{D5CDD505-2E9C-101B-9397-08002B2CF9AE}" pid="3" name="_NewReviewCycle">
    <vt:lpwstr/>
  </property>
  <property fmtid="{D5CDD505-2E9C-101B-9397-08002B2CF9AE}" pid="4" name="_PreviousAdHocReviewCycleID">
    <vt:i4>1432160670</vt:i4>
  </property>
  <property fmtid="{D5CDD505-2E9C-101B-9397-08002B2CF9AE}" pid="5" name="_ReviewingToolsShownOnce">
    <vt:lpwstr/>
  </property>
</Properties>
</file>